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rtl w:val="0"/>
        </w:rPr>
        <w:t xml:space="preserve">Outreach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u w:val="single"/>
          <w:rtl w:val="0"/>
        </w:rPr>
        <w:t xml:space="preserve">Project</w:t>
      </w:r>
      <w:r w:rsidDel="00000000" w:rsidR="00000000" w:rsidRPr="00000000">
        <w:rPr>
          <w:sz w:val="24"/>
          <w:rtl w:val="0"/>
        </w:rPr>
        <w:t xml:space="preserve">:</w:t>
      </w:r>
      <w:r w:rsidDel="00000000" w:rsidR="00000000" w:rsidRPr="00000000">
        <w:rPr>
          <w:b w:val="1"/>
          <w:sz w:val="24"/>
          <w:rtl w:val="0"/>
        </w:rPr>
        <w:t xml:space="preserve"> </w:t>
        <w:tab/>
        <w:tab/>
      </w:r>
      <w:r w:rsidDel="00000000" w:rsidR="00000000" w:rsidRPr="00000000">
        <w:rPr>
          <w:sz w:val="24"/>
          <w:rtl w:val="0"/>
        </w:rPr>
        <w:t xml:space="preserve">Eagle River Wastewater Treatment Plant Headworks Upgrade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u w:val="single"/>
          <w:rtl w:val="0"/>
        </w:rPr>
        <w:t xml:space="preserve">Community partner</w:t>
      </w:r>
      <w:r w:rsidDel="00000000" w:rsidR="00000000" w:rsidRPr="00000000">
        <w:rPr>
          <w:sz w:val="24"/>
          <w:rtl w:val="0"/>
        </w:rPr>
        <w:t xml:space="preserve">: </w:t>
        <w:tab/>
        <w:t xml:space="preserve">Anchorage Water and Wastewater Utility (AWWU)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u w:val="single"/>
          <w:rtl w:val="0"/>
        </w:rPr>
        <w:t xml:space="preserve">Project Lead</w:t>
      </w:r>
      <w:r w:rsidDel="00000000" w:rsidR="00000000" w:rsidRPr="00000000">
        <w:rPr>
          <w:sz w:val="24"/>
          <w:rtl w:val="0"/>
        </w:rPr>
        <w:t xml:space="preserve">: </w:t>
        <w:tab/>
        <w:tab/>
        <w:t xml:space="preserve">Stephen Nuss, P.E., Capital Program Manager (AWWU)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rtl w:val="0"/>
        </w:rPr>
        <w:tab/>
        <w:tab/>
        <w:tab/>
        <w:t xml:space="preserve">Osama A. Abaza, Ph.D., Professor and Chair of Civil Engineering, UAA</w:t>
      </w:r>
    </w:p>
    <w:p w:rsidR="00000000" w:rsidDel="00000000" w:rsidP="00000000" w:rsidRDefault="00000000" w:rsidRPr="00000000">
      <w:pPr>
        <w:spacing w:after="0" w:line="240" w:lineRule="auto"/>
        <w:ind w:left="2160" w:hanging="2160"/>
        <w:contextualSpacing w:val="0"/>
      </w:pPr>
      <w:r w:rsidDel="00000000" w:rsidR="00000000" w:rsidRPr="00000000">
        <w:rPr>
          <w:sz w:val="24"/>
          <w:u w:val="single"/>
          <w:rtl w:val="0"/>
        </w:rPr>
        <w:t xml:space="preserve">Project team</w:t>
      </w:r>
      <w:r w:rsidDel="00000000" w:rsidR="00000000" w:rsidRPr="00000000">
        <w:rPr>
          <w:sz w:val="24"/>
          <w:rtl w:val="0"/>
        </w:rPr>
        <w:t xml:space="preserve">: </w:t>
        <w:tab/>
        <w:t xml:space="preserve">Jonathan Hartford (Project Manager), Monick Estrada, Shawn Eby, Kaytee Villafranca, Christian Osentoski, Jesse Oakes</w:t>
      </w:r>
    </w:p>
    <w:p w:rsidR="00000000" w:rsidDel="00000000" w:rsidP="00000000" w:rsidRDefault="00000000" w:rsidRPr="00000000">
      <w:pPr>
        <w:tabs>
          <w:tab w:val="left" w:pos="2160"/>
        </w:tabs>
        <w:spacing w:after="0" w:line="240" w:lineRule="auto"/>
        <w:ind w:left="2160" w:hanging="216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u w:val="single"/>
          <w:rtl w:val="0"/>
        </w:rPr>
        <w:t xml:space="preserve">Abstract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: </w:t>
        <w:tab/>
        <w:tab/>
        <w:t xml:space="preserve">AWWU owns and operates the ERWWTF. The current headworks of the facility is not able to support current flow rates entering the facility</w:t>
      </w:r>
      <w:r w:rsidDel="00000000" w:rsidR="00000000" w:rsidRPr="00000000">
        <w:rPr>
          <w:sz w:val="24"/>
          <w:rtl w:val="0"/>
        </w:rPr>
        <w:t xml:space="preserve">. A new headworks was designed to s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upport the incoming </w:t>
      </w:r>
      <w:r w:rsidDel="00000000" w:rsidR="00000000" w:rsidRPr="00000000">
        <w:rPr>
          <w:sz w:val="24"/>
          <w:rtl w:val="0"/>
        </w:rPr>
        <w:t xml:space="preserve">flows for the next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30 years. Several options were considered, including one that does not require the construction of a new building. The final recommended option includes constructing a new building for the headworks equipment.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The recommended headworks equipment </w:t>
      </w:r>
      <w:r w:rsidDel="00000000" w:rsidR="00000000" w:rsidRPr="00000000">
        <w:rPr>
          <w:sz w:val="24"/>
          <w:rtl w:val="0"/>
        </w:rPr>
        <w:t xml:space="preserve">is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selected based on the estimated future flow rates. The future ADF rate </w:t>
      </w:r>
      <w:r w:rsidDel="00000000" w:rsidR="00000000" w:rsidRPr="00000000">
        <w:rPr>
          <w:sz w:val="24"/>
          <w:rtl w:val="0"/>
        </w:rPr>
        <w:t xml:space="preserve">is estimated to be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2.2 MGD. The recommended design has a parshall flume to measure flow</w:t>
      </w:r>
      <w:r w:rsidDel="00000000" w:rsidR="00000000" w:rsidRPr="00000000">
        <w:rPr>
          <w:sz w:val="24"/>
          <w:rtl w:val="0"/>
        </w:rPr>
        <w:t xml:space="preserve"> after which the channel splits into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four 2 ft. wide concrete channels.  </w:t>
      </w:r>
      <w:r w:rsidDel="00000000" w:rsidR="00000000" w:rsidRPr="00000000">
        <w:rPr>
          <w:sz w:val="24"/>
          <w:rtl w:val="0"/>
        </w:rPr>
        <w:t xml:space="preserve">Three of the channels will be identical with a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3 mm. screen</w:t>
      </w:r>
      <w:r w:rsidDel="00000000" w:rsidR="00000000" w:rsidRPr="00000000">
        <w:rPr>
          <w:sz w:val="24"/>
          <w:rtl w:val="0"/>
        </w:rPr>
        <w:t xml:space="preserve">/dewatering unit and a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4 MGD grit chamber</w:t>
      </w:r>
      <w:r w:rsidDel="00000000" w:rsidR="00000000" w:rsidRPr="00000000">
        <w:rPr>
          <w:sz w:val="24"/>
          <w:rtl w:val="0"/>
        </w:rPr>
        <w:t xml:space="preserve">.  The fourth channel is for future expansion.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</w:t>
      </w:r>
      <w:r w:rsidDel="00000000" w:rsidR="00000000" w:rsidRPr="00000000">
        <w:rPr>
          <w:sz w:val="24"/>
          <w:rtl w:val="0"/>
        </w:rPr>
        <w:t xml:space="preserve">A single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grit dewate</w:t>
      </w:r>
      <w:r w:rsidDel="00000000" w:rsidR="00000000" w:rsidRPr="00000000">
        <w:rPr>
          <w:sz w:val="24"/>
          <w:rtl w:val="0"/>
        </w:rPr>
        <w:t xml:space="preserve">ring unit services the three grit chambers with room for a second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. </w:t>
      </w:r>
      <w:r w:rsidDel="00000000" w:rsidR="00000000" w:rsidRPr="00000000">
        <w:rPr>
          <w:sz w:val="24"/>
          <w:rtl w:val="0"/>
        </w:rPr>
        <w:t xml:space="preserve">A side channel with the addition of sluice gates bypasses the system.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After the </w:t>
      </w:r>
      <w:r w:rsidDel="00000000" w:rsidR="00000000" w:rsidRPr="00000000">
        <w:rPr>
          <w:sz w:val="24"/>
          <w:rtl w:val="0"/>
        </w:rPr>
        <w:t xml:space="preserve">headworks,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the </w:t>
      </w:r>
      <w:r w:rsidDel="00000000" w:rsidR="00000000" w:rsidRPr="00000000">
        <w:rPr>
          <w:sz w:val="24"/>
          <w:rtl w:val="0"/>
        </w:rPr>
        <w:t xml:space="preserve">channels merge and the influent flows to the primary clarifiers in building 1.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The dewatered solids from the screens </w:t>
      </w:r>
      <w:r w:rsidDel="00000000" w:rsidR="00000000" w:rsidRPr="00000000">
        <w:rPr>
          <w:sz w:val="24"/>
          <w:rtl w:val="0"/>
        </w:rPr>
        <w:t xml:space="preserve">are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screw </w:t>
      </w:r>
      <w:r w:rsidDel="00000000" w:rsidR="00000000" w:rsidRPr="00000000">
        <w:rPr>
          <w:sz w:val="24"/>
          <w:rtl w:val="0"/>
        </w:rPr>
        <w:t xml:space="preserve">conveyed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to a dumpster in the loading bay of the new building. The grit from the grit chambers </w:t>
      </w:r>
      <w:r w:rsidDel="00000000" w:rsidR="00000000" w:rsidRPr="00000000">
        <w:rPr>
          <w:sz w:val="24"/>
          <w:rtl w:val="0"/>
        </w:rPr>
        <w:t xml:space="preserve">are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pumped to the grit dewatering equipment and then screw </w:t>
      </w:r>
      <w:r w:rsidDel="00000000" w:rsidR="00000000" w:rsidRPr="00000000">
        <w:rPr>
          <w:sz w:val="24"/>
          <w:rtl w:val="0"/>
        </w:rPr>
        <w:t xml:space="preserve">conveyed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 to the dumpster in the loading bay. Trucks</w:t>
      </w:r>
      <w:r w:rsidDel="00000000" w:rsidR="00000000" w:rsidRPr="00000000">
        <w:rPr>
          <w:sz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then transport the solids to the nearby landfill. </w:t>
      </w:r>
    </w:p>
    <w:p w:rsidR="00000000" w:rsidDel="00000000" w:rsidP="00000000" w:rsidRDefault="00000000" w:rsidRPr="00000000">
      <w:pPr>
        <w:spacing w:after="0" w:line="240" w:lineRule="auto"/>
        <w:ind w:left="1350" w:hanging="1350"/>
        <w:contextualSpacing w:val="0"/>
        <w:jc w:val="both"/>
      </w:pP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The estimated cost of the headworks upgrade is roughly $7 Million.</w:t>
      </w:r>
    </w:p>
    <w:p w:rsidR="00000000" w:rsidDel="00000000" w:rsidP="00000000" w:rsidRDefault="00000000" w:rsidRPr="00000000">
      <w:pPr>
        <w:spacing w:after="0" w:line="240" w:lineRule="auto"/>
        <w:ind w:left="1350" w:hanging="135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0" w:firstLine="0"/>
        <w:contextualSpacing w:val="0"/>
      </w:pPr>
      <w:r w:rsidDel="00000000" w:rsidR="00000000" w:rsidRPr="00000000">
        <w:rPr>
          <w:rFonts w:ascii="Calibri" w:cs="Calibri" w:eastAsia="Calibri" w:hAnsi="Calibri"/>
          <w:sz w:val="24"/>
          <w:rtl w:val="0"/>
        </w:rPr>
        <w:t xml:space="preserve">Seawolf Engineering 2015, having been awarded this project by AWWU, agreed to complete the following deliverables by April 2015: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Site and Grading Plans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Building Layout with Section views in 2D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Geotechnical Considerations, Existing Conditions, Criteria for Building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Screening Unit Recommendation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Grit Unit Recommendations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Solids Handling with Direct Trucking to ARL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Flow Projections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Alternative to a new building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rtl w:val="0"/>
        </w:rPr>
        <w:t xml:space="preserve">Updated process flow schematic for entire process from influent to outfall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u w:val="single"/>
          <w:rtl w:val="0"/>
        </w:rPr>
        <w:t xml:space="preserve">Project Documents</w:t>
      </w:r>
      <w:r w:rsidDel="00000000" w:rsidR="00000000" w:rsidRPr="00000000">
        <w:rPr>
          <w:sz w:val="24"/>
          <w:rtl w:val="0"/>
        </w:rPr>
        <w:t xml:space="preserve">: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3943971" cy="2572155"/>
            <wp:effectExtent b="0" l="0" r="0" t="0"/>
            <wp:docPr id="3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5"/>
                    <a:srcRect b="5269" l="0" r="0" t="6312"/>
                    <a:stretch>
                      <a:fillRect/>
                    </a:stretch>
                  </pic:blipFill>
                  <pic:spPr>
                    <a:xfrm>
                      <a:off x="0" y="0"/>
                      <a:ext cx="3943971" cy="2572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3759200"/>
            <wp:effectExtent b="0" l="0" r="0" t="0"/>
            <wp:docPr descr="team pic.png" id="6" name="image11.png"/>
            <a:graphic>
              <a:graphicData uri="http://schemas.openxmlformats.org/drawingml/2006/picture">
                <pic:pic>
                  <pic:nvPicPr>
                    <pic:cNvPr descr="team pic.png"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4216400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4826000"/>
            <wp:effectExtent b="0" l="0" r="0" t="0"/>
            <wp:docPr id="1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5646612" cy="3499573"/>
            <wp:effectExtent b="0" l="0" r="0" t="0"/>
            <wp:docPr id="4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6612" cy="3499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bookmarkStart w:colFirst="0" w:colLast="0" w:name="h.gjdgxs" w:id="0"/>
      <w:bookmarkEnd w:id="0"/>
      <w:r w:rsidDel="00000000" w:rsidR="00000000" w:rsidRPr="00000000">
        <w:drawing>
          <wp:inline distB="0" distT="0" distL="0" distR="0">
            <wp:extent cx="5006345" cy="3932175"/>
            <wp:effectExtent b="0" l="0" r="0" t="0"/>
            <wp:docPr descr="ERWWTF Process Diagram-6.jpg" id="5" name="image09.jpg"/>
            <a:graphic>
              <a:graphicData uri="http://schemas.openxmlformats.org/drawingml/2006/picture">
                <pic:pic>
                  <pic:nvPicPr>
                    <pic:cNvPr descr="ERWWTF Process Diagram-6.jpg" id="0" name="image09.jpg"/>
                    <pic:cNvPicPr preferRelativeResize="0"/>
                  </pic:nvPicPr>
                  <pic:blipFill>
                    <a:blip r:embed="rId10"/>
                    <a:srcRect b="1100" l="0" r="0" t="2305"/>
                    <a:stretch>
                      <a:fillRect/>
                    </a:stretch>
                  </pic:blipFill>
                  <pic:spPr>
                    <a:xfrm>
                      <a:off x="0" y="0"/>
                      <a:ext cx="5006345" cy="393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10" Type="http://schemas.openxmlformats.org/officeDocument/2006/relationships/image" Target="media/image09.jpg"/><Relationship Id="rId4" Type="http://schemas.openxmlformats.org/officeDocument/2006/relationships/styles" Target="styles.xml"/><Relationship Id="rId3" Type="http://schemas.openxmlformats.org/officeDocument/2006/relationships/numbering" Target="numbering.xml"/><Relationship Id="rId9" Type="http://schemas.openxmlformats.org/officeDocument/2006/relationships/image" Target="media/image08.png"/><Relationship Id="rId6" Type="http://schemas.openxmlformats.org/officeDocument/2006/relationships/image" Target="media/image11.png"/><Relationship Id="rId5" Type="http://schemas.openxmlformats.org/officeDocument/2006/relationships/image" Target="media/image06.jpg"/><Relationship Id="rId8" Type="http://schemas.openxmlformats.org/officeDocument/2006/relationships/image" Target="media/image03.png"/><Relationship Id="rId7" Type="http://schemas.openxmlformats.org/officeDocument/2006/relationships/image" Target="media/image05.png"/></Relationships>
</file>